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2C70A2F1"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A769A6">
        <w:rPr>
          <w:noProof/>
        </w:rPr>
        <w:t>8</w:t>
      </w:r>
      <w:r w:rsidR="004D068C" w:rsidRPr="004D068C">
        <w:rPr>
          <w:noProof/>
        </w:rPr>
        <w:t>th International Food Operations &amp; Processing Simulation Workshop</w:t>
      </w:r>
    </w:p>
    <w:p w14:paraId="4E830C24" w14:textId="2ABB3973" w:rsidR="005C066F" w:rsidRDefault="00A53D86"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A769A6">
        <w:t>9</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378FF4BB" w:rsidR="00246FB3" w:rsidRPr="00E93028" w:rsidRDefault="004D068C" w:rsidP="00E93028">
      <w:pPr>
        <w:pStyle w:val="I3M-CopyrightHeading"/>
      </w:pPr>
      <w:r w:rsidRPr="004D068C">
        <w:t>2724-0355</w:t>
      </w:r>
      <w:r>
        <w:t xml:space="preserve"> </w:t>
      </w:r>
      <w:r w:rsidR="001E14FD" w:rsidRPr="00246FB3">
        <w:t>© 202</w:t>
      </w:r>
      <w:r w:rsidR="00A769A6">
        <w:t>2</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A53D86"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A53D86"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A53D86"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A53D86">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A53D86">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A53D86">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1729" w14:textId="77777777" w:rsidR="00A53D86" w:rsidRDefault="00A53D86" w:rsidP="00246FB3">
      <w:r>
        <w:separator/>
      </w:r>
    </w:p>
  </w:endnote>
  <w:endnote w:type="continuationSeparator" w:id="0">
    <w:p w14:paraId="76E712B5" w14:textId="77777777" w:rsidR="00A53D86" w:rsidRDefault="00A53D86"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A53D86">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0312DCC8"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A769A6">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A785" w14:textId="77777777" w:rsidR="00A53D86" w:rsidRDefault="00A53D86" w:rsidP="00246FB3">
      <w:r>
        <w:separator/>
      </w:r>
    </w:p>
  </w:footnote>
  <w:footnote w:type="continuationSeparator" w:id="0">
    <w:p w14:paraId="0FC86A05" w14:textId="77777777" w:rsidR="00A53D86" w:rsidRDefault="00A53D86"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280FF91C" w:rsidR="001E14FD" w:rsidRPr="001A16CC" w:rsidRDefault="00A53D86"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A769A6">
      <w:t>8</w:t>
    </w:r>
    <w:r w:rsidR="004D068C" w:rsidRPr="004D068C">
      <w:t>th International Food Operations &amp; Processing Simulation Workshop</w:t>
    </w:r>
    <w:r w:rsidR="001E14FD" w:rsidRPr="001A16CC">
      <w:t xml:space="preserve">, </w:t>
    </w:r>
    <w:r w:rsidR="004D068C">
      <w:t>FOODOPS</w:t>
    </w:r>
    <w:r w:rsidR="001E14FD" w:rsidRPr="001A16CC">
      <w:t xml:space="preserve"> 202</w:t>
    </w:r>
    <w:r w:rsidR="00A769A6">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A53D86"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xMDcxMje2MDZU0lEKTi0uzszPAykwrAUAy0tDWSwAAAA="/>
  </w:docVars>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3E269B"/>
    <w:rsid w:val="00407369"/>
    <w:rsid w:val="00423362"/>
    <w:rsid w:val="004865F5"/>
    <w:rsid w:val="004C74F3"/>
    <w:rsid w:val="004D038A"/>
    <w:rsid w:val="004D068C"/>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039AD"/>
    <w:rsid w:val="008636A2"/>
    <w:rsid w:val="00881B35"/>
    <w:rsid w:val="00882850"/>
    <w:rsid w:val="00883171"/>
    <w:rsid w:val="008966F2"/>
    <w:rsid w:val="008E0A20"/>
    <w:rsid w:val="00901A11"/>
    <w:rsid w:val="00964FE6"/>
    <w:rsid w:val="009C20B8"/>
    <w:rsid w:val="00A34CFA"/>
    <w:rsid w:val="00A53D86"/>
    <w:rsid w:val="00A67517"/>
    <w:rsid w:val="00A769A6"/>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414D2"/>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2021-11-04T18:25:00Z</dcterms:modified>
</cp:coreProperties>
</file>