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F47C" w14:textId="3F26D11B" w:rsidR="005C066F" w:rsidRDefault="001E14FD" w:rsidP="007676E3">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rsidR="003027A4" w:rsidRPr="003027A4">
        <w:rPr>
          <w:noProof/>
        </w:rPr>
        <w:t>10th International Defense and Homeland Security Simulation Workshop</w:t>
      </w:r>
    </w:p>
    <w:p w14:paraId="4E830C24" w14:textId="447B408F" w:rsidR="005C066F" w:rsidRDefault="00117EF0" w:rsidP="00246FB3">
      <w:pPr>
        <w:pStyle w:val="I3M-ConferenceHeading-Regular"/>
      </w:pPr>
      <w:r>
        <w:rPr>
          <w:sz w:val="22"/>
        </w:rPr>
        <w:pict w14:anchorId="5745B03D">
          <v:line id="_x0000_s1063" style="position:absolute;left:0;text-align:left;z-index:251644928;mso-position-horizontal-relative:page" from="126.15pt,19.05pt" to="612pt,19.05pt" strokecolor="#d8d8d8" strokeweight=".70308mm">
            <w10:wrap anchorx="page"/>
          </v:line>
        </w:pict>
      </w:r>
      <w:r w:rsidR="001E14FD">
        <w:t>17</w:t>
      </w:r>
      <w:r w:rsidR="001E14FD">
        <w:rPr>
          <w:position w:val="6"/>
          <w:sz w:val="12"/>
        </w:rPr>
        <w:t xml:space="preserve">th </w:t>
      </w:r>
      <w:r w:rsidR="001E14FD">
        <w:t>International Multidisciplinary Modeling &amp; Simulation Multiconference</w:t>
      </w:r>
    </w:p>
    <w:p w14:paraId="1475ABC7" w14:textId="77777777" w:rsidR="005C066F" w:rsidRDefault="005C066F">
      <w:pPr>
        <w:pStyle w:val="Corpotesto"/>
        <w:spacing w:before="1"/>
        <w:rPr>
          <w:sz w:val="23"/>
        </w:rPr>
      </w:pPr>
    </w:p>
    <w:p w14:paraId="36B71D61" w14:textId="7BEAFF55" w:rsidR="00246FB3" w:rsidRPr="00E93028" w:rsidRDefault="003027A4" w:rsidP="00E93028">
      <w:pPr>
        <w:pStyle w:val="I3M-CopyrightHeading"/>
      </w:pPr>
      <w:r w:rsidRPr="003027A4">
        <w:t>2724-0363</w:t>
      </w:r>
      <w:r w:rsidR="007676E3">
        <w:t xml:space="preserve"> </w:t>
      </w:r>
      <w:r w:rsidR="001E14FD" w:rsidRPr="00246FB3">
        <w:t>© 2020 The Authors</w:t>
      </w:r>
      <w:r w:rsidR="001E14FD">
        <w:t>.</w:t>
      </w:r>
    </w:p>
    <w:p w14:paraId="014BBDF3" w14:textId="2B640240" w:rsidR="005C066F" w:rsidRDefault="001E14FD" w:rsidP="00246FB3">
      <w:pPr>
        <w:pStyle w:val="I3M-DOIHeading"/>
        <w:ind w:right="3767"/>
      </w:pPr>
      <w:r>
        <w:t>doi: xx.xxxx/xxxx</w:t>
      </w:r>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117EF0" w:rsidP="00690F61">
      <w:pPr>
        <w:pStyle w:val="I3M-Corresponding-Author"/>
      </w:pPr>
      <w:r>
        <w:pict w14:anchorId="2786E7DB">
          <v:line id="_x0000_s1062" style="position:absolute;z-index:251645952;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Corpotesto"/>
        <w:rPr>
          <w:sz w:val="20"/>
        </w:rPr>
      </w:pPr>
    </w:p>
    <w:p w14:paraId="29CC0A03" w14:textId="77777777" w:rsidR="005C066F" w:rsidRDefault="005C066F">
      <w:pPr>
        <w:pStyle w:val="Corpotesto"/>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2AA78929" w14:textId="77777777" w:rsidR="005C066F" w:rsidRDefault="00117EF0" w:rsidP="00E93028">
      <w:pPr>
        <w:pStyle w:val="I3M-Keywords"/>
      </w:pPr>
      <w:r>
        <w:rPr>
          <w:b/>
          <w:bCs/>
          <w:sz w:val="22"/>
        </w:rPr>
        <w:pict w14:anchorId="7D799246">
          <v:line id="_x0000_s1061" style="position:absolute;z-index:251646976;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Corpotesto"/>
        <w:rPr>
          <w:sz w:val="20"/>
        </w:rPr>
      </w:pPr>
    </w:p>
    <w:p w14:paraId="238A81FA" w14:textId="77777777" w:rsidR="005C066F" w:rsidRDefault="005C066F">
      <w:pPr>
        <w:pStyle w:val="Corpotesto"/>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Collegamentoipertestuale"/>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Lorem ipsum dolor sit amet, consectetur adipiscing elit, sed do eiusmod tempor incididunt ut labore et dolore magna aliqua.</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Grigliatabella"/>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117EF0"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Art Arfons</w:t>
            </w:r>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Art Arfons</w:t>
            </w:r>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5">
        <w:r w:rsidRPr="001E14FD">
          <w:rPr>
            <w:rStyle w:val="Collegamentoipertestuale"/>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6"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17">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117EF0">
        <w:pict w14:anchorId="3F5484E0">
          <v:shapetype id="_x0000_t202" coordsize="21600,21600" o:spt="202" path="m,l,21600r21600,l21600,xe">
            <v:stroke joinstyle="miter"/>
            <v:path gradientshapeok="t" o:connecttype="rect"/>
          </v:shapetype>
          <v:shape id="_x0000_s1069" type="#_x0000_t202" style="position:absolute;left:0;text-align:left;margin-left:742.55pt;margin-top:481.45pt;width:11.8pt;height:42.25pt;z-index:251659264;mso-position-horizontal-relative:page;mso-position-vertical-relative:page" filled="f" stroked="f">
            <v:textbox style="layout-flow:vertical;mso-next-textbox:#_x0000_s1069"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117EF0">
        <w:pict w14:anchorId="287A55A0">
          <v:shape id="_x0000_s1070" type="#_x0000_t202" style="position:absolute;left:0;text-align:left;margin-left:742.05pt;margin-top:529.5pt;width:11.8pt;height:5.3pt;z-index:251660288;mso-position-horizontal-relative:page;mso-position-vertical-relative:page" filled="f" stroked="f">
            <v:textbox style="layout-flow:vertical;mso-next-textbox:#_x0000_s1070"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117EF0">
        <w:pict w14:anchorId="7833A334">
          <v:shape id="_x0000_s1071" type="#_x0000_t202" style="position:absolute;left:0;text-align:left;margin-left:742.55pt;margin-top:540.55pt;width:11.8pt;height:6.75pt;z-index:251661312;mso-position-horizontal-relative:page;mso-position-vertical-relative:page" filled="f" stroked="f">
            <v:textbox style="layout-flow:vertical;mso-next-textbox:#_x0000_s1071"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EB7C7" w14:textId="77777777" w:rsidR="00117EF0" w:rsidRDefault="00117EF0" w:rsidP="00246FB3">
      <w:r>
        <w:separator/>
      </w:r>
    </w:p>
  </w:endnote>
  <w:endnote w:type="continuationSeparator" w:id="0">
    <w:p w14:paraId="017B3E69" w14:textId="77777777" w:rsidR="00117EF0" w:rsidRDefault="00117EF0"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rriweather">
    <w:panose1 w:val="00000500000000000000"/>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7384" w14:textId="0787694B" w:rsidR="001E14FD" w:rsidRDefault="001E14FD" w:rsidP="00D579AB">
    <w:pPr>
      <w:pStyle w:val="Corpotesto"/>
    </w:pPr>
    <w:r>
      <w:t xml:space="preserve">   </w:t>
    </w:r>
    <w:r w:rsidR="00117EF0">
      <w:pict w14:anchorId="41292BC8">
        <v:group id="_x0000_s2051" style="width:504.45pt;height:.4pt;mso-position-horizontal-relative:char;mso-position-vertical-relative:line" coordsize="10089,8">
          <v:line id="_x0000_s2052" style="position:absolute" from="0,4" to="10088,4" strokeweight=".14042mm"/>
          <w10:anchorlock/>
        </v:group>
      </w:pict>
    </w:r>
  </w:p>
  <w:p w14:paraId="78398350" w14:textId="77777777"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xml:space="preserve">© 2020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510EC" w14:textId="77777777" w:rsidR="00117EF0" w:rsidRDefault="00117EF0" w:rsidP="00246FB3">
      <w:r>
        <w:separator/>
      </w:r>
    </w:p>
  </w:footnote>
  <w:footnote w:type="continuationSeparator" w:id="0">
    <w:p w14:paraId="2CA70DFA" w14:textId="77777777" w:rsidR="00117EF0" w:rsidRDefault="00117EF0"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2514" w14:textId="08CA995D" w:rsidR="001E14FD" w:rsidRPr="001A16CC" w:rsidRDefault="00117EF0" w:rsidP="001A16CC">
    <w:pPr>
      <w:pStyle w:val="I3M-EvenPageHeader"/>
    </w:pPr>
    <w:r>
      <w:pict w14:anchorId="74661630">
        <v:line id="_x0000_s2055" style="position:absolute;left:0;text-align:left;z-index:-251653120;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3027A4" w:rsidRPr="003027A4">
      <w:t>10th International Defense and Homeland Security Simulation Workshop</w:t>
    </w:r>
    <w:r w:rsidR="001E14FD" w:rsidRPr="001A16CC">
      <w:t xml:space="preserve">, </w:t>
    </w:r>
    <w:r w:rsidR="003027A4">
      <w:t>DHSS</w:t>
    </w:r>
    <w:r w:rsidR="001E14FD" w:rsidRPr="001A16CC">
      <w:t xml:space="preserve"> 2020</w:t>
    </w:r>
  </w:p>
  <w:p w14:paraId="1B912AA3" w14:textId="77777777" w:rsidR="001E14FD" w:rsidRDefault="001E14FD" w:rsidP="00F768FC">
    <w:pPr>
      <w:pStyle w:val="Corpotesto"/>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57E7" w14:textId="6AC2668B" w:rsidR="001A16CC" w:rsidRDefault="00117EF0" w:rsidP="001A16CC">
    <w:pPr>
      <w:pStyle w:val="I3M-OddPageHeader"/>
    </w:pPr>
    <w:r>
      <w:rPr>
        <w:sz w:val="22"/>
      </w:rPr>
      <w:pict w14:anchorId="3EE0CF52">
        <v:line id="_x0000_s2056" style="position:absolute;left:0;text-align:left;z-index:-251651072;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Corpotesto"/>
      <w:spacing w:before="6"/>
      <w:rPr>
        <w:sz w:val="5"/>
      </w:rPr>
    </w:pPr>
  </w:p>
  <w:p w14:paraId="2B1A2FBD"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abstractNumId w:val="1"/>
  </w:num>
  <w:num w:numId="2">
    <w:abstractNumId w:val="3"/>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C066F"/>
    <w:rsid w:val="00001458"/>
    <w:rsid w:val="00102357"/>
    <w:rsid w:val="00117EF0"/>
    <w:rsid w:val="00134711"/>
    <w:rsid w:val="0013474E"/>
    <w:rsid w:val="001A16CC"/>
    <w:rsid w:val="001A55DE"/>
    <w:rsid w:val="001E14FD"/>
    <w:rsid w:val="002400E1"/>
    <w:rsid w:val="00246FB3"/>
    <w:rsid w:val="00275C75"/>
    <w:rsid w:val="002A0457"/>
    <w:rsid w:val="003027A4"/>
    <w:rsid w:val="00317FA0"/>
    <w:rsid w:val="003C397E"/>
    <w:rsid w:val="00407369"/>
    <w:rsid w:val="00423362"/>
    <w:rsid w:val="004C74F3"/>
    <w:rsid w:val="004D038A"/>
    <w:rsid w:val="00515A2A"/>
    <w:rsid w:val="00554A66"/>
    <w:rsid w:val="00555161"/>
    <w:rsid w:val="005A0982"/>
    <w:rsid w:val="005C066F"/>
    <w:rsid w:val="005D43F1"/>
    <w:rsid w:val="006233C6"/>
    <w:rsid w:val="00680238"/>
    <w:rsid w:val="00690F61"/>
    <w:rsid w:val="006B79AE"/>
    <w:rsid w:val="00711EE7"/>
    <w:rsid w:val="0073026B"/>
    <w:rsid w:val="00747176"/>
    <w:rsid w:val="007676E3"/>
    <w:rsid w:val="00792A36"/>
    <w:rsid w:val="007B1E3C"/>
    <w:rsid w:val="007E1732"/>
    <w:rsid w:val="007E2B1D"/>
    <w:rsid w:val="007E4635"/>
    <w:rsid w:val="008636A2"/>
    <w:rsid w:val="00881B35"/>
    <w:rsid w:val="00882850"/>
    <w:rsid w:val="00883171"/>
    <w:rsid w:val="008966F2"/>
    <w:rsid w:val="008E0A20"/>
    <w:rsid w:val="00901A11"/>
    <w:rsid w:val="00964FE6"/>
    <w:rsid w:val="009C20B8"/>
    <w:rsid w:val="00A34CFA"/>
    <w:rsid w:val="00A67517"/>
    <w:rsid w:val="00A87E95"/>
    <w:rsid w:val="00AB572D"/>
    <w:rsid w:val="00AB706C"/>
    <w:rsid w:val="00AB7B3C"/>
    <w:rsid w:val="00AD3806"/>
    <w:rsid w:val="00B07393"/>
    <w:rsid w:val="00B11CDE"/>
    <w:rsid w:val="00B2473A"/>
    <w:rsid w:val="00B613BA"/>
    <w:rsid w:val="00BC7F96"/>
    <w:rsid w:val="00BD2F2B"/>
    <w:rsid w:val="00BD7A80"/>
    <w:rsid w:val="00CC0D59"/>
    <w:rsid w:val="00D579AB"/>
    <w:rsid w:val="00D62606"/>
    <w:rsid w:val="00D82C97"/>
    <w:rsid w:val="00DD30F8"/>
    <w:rsid w:val="00E402C7"/>
    <w:rsid w:val="00E579DE"/>
    <w:rsid w:val="00E72ADA"/>
    <w:rsid w:val="00E93028"/>
    <w:rsid w:val="00EB5FBC"/>
    <w:rsid w:val="00ED4171"/>
    <w:rsid w:val="00F241BC"/>
    <w:rsid w:val="00F76724"/>
    <w:rsid w:val="00F768FC"/>
    <w:rsid w:val="00F93AAF"/>
    <w:rsid w:val="00FC5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erriweather" w:eastAsia="Merriweather" w:hAnsi="Merriweather" w:cs="Merriweather"/>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Carpredefinitoparagrafo"/>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basedOn w:val="Carpredefinitoparagrafo"/>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Titolo1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basedOn w:val="Carpredefinitoparagrafo"/>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basedOn w:val="Carpredefinitoparagrafo"/>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basedOn w:val="Carpredefinitoparagrafo"/>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basedOn w:val="Carpredefinitoparagrafo"/>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basedOn w:val="Carpredefinitoparagrafo"/>
    <w:uiPriority w:val="99"/>
    <w:unhideWhenUsed/>
    <w:rsid w:val="00317FA0"/>
    <w:rPr>
      <w:color w:val="0000FF" w:themeColor="hyperlink"/>
      <w:u w:val="single"/>
    </w:rPr>
  </w:style>
  <w:style w:type="character" w:styleId="Menzionenonrisolta">
    <w:name w:val="Unresolved Mention"/>
    <w:basedOn w:val="Carpredefinitoparagrafo"/>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basedOn w:val="Carpredefinitoparagrafo"/>
    <w:link w:val="Titolo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hyperlink" Target="http://www.crossref.org/fundingdata/" TargetMode="External"/><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edl.org/afterschool/toolkits/science/pdf/ast_sci_data_tables_sample.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9793</Characters>
  <Application>Microsoft Office Word</Application>
  <DocSecurity>0</DocSecurity>
  <Lines>81</Lines>
  <Paragraphs>22</Paragraphs>
  <ScaleCrop>false</ScaleCrop>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2020-06-01T07:16:00Z</dcterms:modified>
</cp:coreProperties>
</file>